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2BA35">
      <w:pPr>
        <w:pStyle w:val="6"/>
        <w:autoSpaceDE/>
        <w:autoSpaceDN/>
        <w:adjustRightInd w:val="0"/>
        <w:snapToGrid w:val="0"/>
        <w:spacing w:after="0" w:line="360" w:lineRule="auto"/>
        <w:ind w:left="0" w:leftChars="0" w:firstLine="0" w:firstLineChars="0"/>
        <w:jc w:val="both"/>
        <w:rPr>
          <w:rFonts w:ascii="黑体" w:hAnsi="黑体" w:eastAsia="黑体" w:cs="Times New Roman"/>
          <w:b w:val="0"/>
          <w:bCs/>
          <w:kern w:val="2"/>
          <w:sz w:val="32"/>
          <w:szCs w:val="32"/>
          <w:lang w:val="en-US" w:eastAsia="zh-CN" w:bidi="ar-SA"/>
        </w:rPr>
      </w:pPr>
      <w:bookmarkStart w:id="0" w:name="_GoBack"/>
      <w:bookmarkEnd w:id="0"/>
      <w:r>
        <w:rPr>
          <w:rFonts w:hint="eastAsia" w:ascii="黑体" w:hAnsi="黑体" w:eastAsia="黑体" w:cs="宋体"/>
          <w:bCs/>
          <w:kern w:val="0"/>
          <w:sz w:val="32"/>
          <w:szCs w:val="32"/>
          <w:lang w:val="en-US" w:eastAsia="zh-CN" w:bidi="ar-SA"/>
        </w:rPr>
        <w:t>附件9：</w:t>
      </w:r>
    </w:p>
    <w:p w14:paraId="4769DC71">
      <w:pPr>
        <w:pStyle w:val="3"/>
        <w:spacing w:before="171"/>
        <w:ind w:left="0" w:leftChars="0" w:firstLine="0" w:firstLineChars="0"/>
        <w:jc w:val="center"/>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民航与交通学院（飞行学院）2027年推荐优秀</w:t>
      </w:r>
    </w:p>
    <w:p w14:paraId="648FDAC7">
      <w:pPr>
        <w:pStyle w:val="3"/>
        <w:spacing w:before="171"/>
        <w:ind w:left="0" w:leftChars="0" w:firstLine="0" w:firstLineChars="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b w:val="0"/>
          <w:bCs/>
          <w:kern w:val="2"/>
          <w:sz w:val="44"/>
          <w:szCs w:val="44"/>
          <w:lang w:val="en-US" w:eastAsia="zh-CN" w:bidi="ar-SA"/>
        </w:rPr>
        <w:t>应届本科毕业生免试攻读研究生复试细则</w:t>
      </w:r>
    </w:p>
    <w:p w14:paraId="2A32E845">
      <w:pPr>
        <w:pStyle w:val="5"/>
        <w:rPr>
          <w:rFonts w:ascii="黑体"/>
          <w:b/>
          <w:color w:val="auto"/>
          <w:sz w:val="38"/>
          <w:highlight w:val="none"/>
        </w:rPr>
      </w:pPr>
    </w:p>
    <w:p w14:paraId="13F1959F">
      <w:pPr>
        <w:spacing w:line="360" w:lineRule="auto"/>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color w:val="auto"/>
          <w:sz w:val="32"/>
          <w:highlight w:val="none"/>
        </w:rPr>
        <w:t>一、复试原则</w:t>
      </w:r>
    </w:p>
    <w:p w14:paraId="2E6E0C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（一）德、智、体全面衡量，发现特长，择优录取，宁缺毋滥。</w:t>
      </w:r>
    </w:p>
    <w:p w14:paraId="26A52C3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2"/>
          <w:highlight w:val="none"/>
        </w:rPr>
        <w:t>（二）程序透明、操作规范、结果公开、监督机制健全，切实维护考生的合法权益。</w:t>
      </w:r>
    </w:p>
    <w:p w14:paraId="5789DCC8">
      <w:pPr>
        <w:pStyle w:val="3"/>
        <w:spacing w:line="360" w:lineRule="auto"/>
        <w:ind w:left="0" w:leftChars="0"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二、复试细则与组织管理</w:t>
      </w:r>
    </w:p>
    <w:p w14:paraId="3451C01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yellow"/>
          <w:lang w:val="en-US" w:eastAsia="zh-CN"/>
        </w:rPr>
      </w:pPr>
      <w:r>
        <w:rPr>
          <w:rFonts w:hint="eastAsia" w:ascii="仿宋_GB2312" w:hAnsi="仿宋_GB2312" w:eastAsia="仿宋_GB2312" w:cs="仿宋_GB2312"/>
          <w:color w:val="auto"/>
          <w:spacing w:val="-2"/>
          <w:highlight w:val="none"/>
          <w:lang w:val="en-US" w:eastAsia="zh-CN"/>
        </w:rPr>
        <w:t>学院</w:t>
      </w:r>
      <w:r>
        <w:rPr>
          <w:rFonts w:hint="eastAsia" w:ascii="仿宋_GB2312" w:hAnsi="仿宋_GB2312" w:eastAsia="仿宋_GB2312" w:cs="仿宋_GB2312"/>
          <w:color w:val="auto"/>
          <w:spacing w:val="-2"/>
          <w:highlight w:val="none"/>
        </w:rPr>
        <w:t>成立复试小组，</w:t>
      </w:r>
      <w:r>
        <w:rPr>
          <w:rFonts w:hint="eastAsia" w:ascii="仿宋_GB2312" w:hAnsi="仿宋_GB2312" w:eastAsia="仿宋_GB2312" w:cs="仿宋_GB2312"/>
          <w:color w:val="auto"/>
          <w:spacing w:val="-2"/>
          <w:highlight w:val="none"/>
          <w:lang w:val="en-US" w:eastAsia="zh-CN"/>
        </w:rPr>
        <w:t>由相关专业导师组成，</w:t>
      </w:r>
      <w:r>
        <w:rPr>
          <w:rFonts w:hint="eastAsia" w:ascii="仿宋_GB2312" w:hAnsi="仿宋_GB2312" w:eastAsia="仿宋_GB2312" w:cs="仿宋_GB2312"/>
          <w:color w:val="auto"/>
          <w:spacing w:val="-2"/>
          <w:highlight w:val="none"/>
          <w:lang w:val="en-US"/>
        </w:rPr>
        <w:t>具体成员名单如下：</w:t>
      </w:r>
    </w:p>
    <w:p w14:paraId="25AC5EF8">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lang w:val="en-US"/>
        </w:rPr>
      </w:pPr>
      <w:r>
        <w:rPr>
          <w:rFonts w:hint="eastAsia" w:ascii="仿宋_GB2312" w:hAnsi="仿宋_GB2312" w:eastAsia="仿宋_GB2312" w:cs="仿宋_GB2312"/>
          <w:color w:val="auto"/>
          <w:spacing w:val="-2"/>
          <w:highlight w:val="none"/>
          <w:lang w:val="en-US"/>
        </w:rPr>
        <w:t>组  长：吕  辉</w:t>
      </w:r>
    </w:p>
    <w:p w14:paraId="4AD82C3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lang w:eastAsia="zh-CN"/>
        </w:rPr>
      </w:pPr>
      <w:r>
        <w:rPr>
          <w:rFonts w:hint="eastAsia" w:ascii="仿宋_GB2312" w:hAnsi="仿宋_GB2312" w:eastAsia="仿宋_GB2312" w:cs="仿宋_GB2312"/>
          <w:color w:val="auto"/>
          <w:spacing w:val="-2"/>
          <w:highlight w:val="none"/>
          <w:lang w:val="en-US"/>
        </w:rPr>
        <w:t>成  员：钟延芬、郭晓钧、郭慧锋、肖  鑫、郑云扬、熊  英、陈礼顺、苏涛勇</w:t>
      </w:r>
    </w:p>
    <w:p w14:paraId="6376E284">
      <w:pPr>
        <w:pStyle w:val="3"/>
        <w:spacing w:before="151" w:line="360" w:lineRule="auto"/>
        <w:ind w:left="0" w:leftChars="0" w:right="440"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三、复试内容</w:t>
      </w:r>
    </w:p>
    <w:p w14:paraId="6A200874">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（一）业务能力测试，</w:t>
      </w:r>
      <w:r>
        <w:rPr>
          <w:rFonts w:hint="eastAsia" w:ascii="仿宋_GB2312" w:hAnsi="仿宋_GB2312" w:eastAsia="仿宋_GB2312" w:cs="仿宋_GB2312"/>
          <w:color w:val="auto"/>
          <w:spacing w:val="-2"/>
          <w:highlight w:val="none"/>
          <w:lang w:val="en-US"/>
        </w:rPr>
        <w:t>复试小组</w:t>
      </w:r>
      <w:r>
        <w:rPr>
          <w:rFonts w:hint="eastAsia" w:ascii="仿宋_GB2312" w:hAnsi="仿宋_GB2312" w:eastAsia="仿宋_GB2312" w:cs="仿宋_GB2312"/>
          <w:color w:val="auto"/>
          <w:spacing w:val="-2"/>
          <w:highlight w:val="none"/>
        </w:rPr>
        <w:t>结合考生本科专业背景提问。</w:t>
      </w:r>
    </w:p>
    <w:p w14:paraId="505FFF00">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着重考察从事科学研究的潜力，能够运用所学知识，对本学科领域中存在的问题进行深入的研究与探索或从事工程技术研究的潜力，能够运用所学知识，对本专业工程技术中存在的问题进行分析、提出创新型的设计和技术改造方案。</w:t>
      </w:r>
    </w:p>
    <w:p w14:paraId="130229C1">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w:t>
      </w:r>
      <w:r>
        <w:rPr>
          <w:rFonts w:hint="eastAsia" w:ascii="仿宋_GB2312" w:hAnsi="仿宋_GB2312" w:eastAsia="仿宋_GB2312" w:cs="仿宋_GB2312"/>
          <w:color w:val="auto"/>
          <w:spacing w:val="-2"/>
          <w:highlight w:val="none"/>
          <w:lang w:val="en-US"/>
        </w:rPr>
        <w:t>二</w:t>
      </w:r>
      <w:r>
        <w:rPr>
          <w:rFonts w:hint="eastAsia" w:ascii="仿宋_GB2312" w:hAnsi="仿宋_GB2312" w:eastAsia="仿宋_GB2312" w:cs="仿宋_GB2312"/>
          <w:color w:val="auto"/>
          <w:spacing w:val="-2"/>
          <w:highlight w:val="none"/>
        </w:rPr>
        <w:t>）综合素质考核主要考察综合素质和能力，如：思想政治道德品质、大学阶段学习情况、外语交流能力、纪律性、协作性、心理健康情况、人文素养、在校期间应征入伍及学术成果（对获得与专业相关的竞赛奖项可适当加分，团体奖应根据获奖排名区别对待，具体加分标准由各学院在复试细则中规定）。</w:t>
      </w:r>
    </w:p>
    <w:p w14:paraId="094EAA93">
      <w:pPr>
        <w:pStyle w:val="3"/>
        <w:spacing w:line="360" w:lineRule="auto"/>
        <w:ind w:left="0" w:leftChars="0"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四、复试成绩及注意事项</w:t>
      </w:r>
    </w:p>
    <w:p w14:paraId="4E0CEF9F">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（一）业务能力测试和综合素质考核</w:t>
      </w:r>
      <w:r>
        <w:rPr>
          <w:rFonts w:hint="eastAsia" w:ascii="仿宋_GB2312" w:hAnsi="仿宋_GB2312" w:eastAsia="仿宋_GB2312" w:cs="仿宋_GB2312"/>
          <w:color w:val="auto"/>
          <w:spacing w:val="-2"/>
          <w:highlight w:val="none"/>
          <w:lang w:val="en-US"/>
        </w:rPr>
        <w:t>各占50%。</w:t>
      </w:r>
    </w:p>
    <w:p w14:paraId="4C2EEF0B">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（二）复试分满分100分，复试小组应对考生复试成绩给出具体分数，60分以下为复试不及格，60分（含）以上为复试及格。复试不及格者原则上取消录取资格。</w:t>
      </w:r>
    </w:p>
    <w:p w14:paraId="3FB80A07">
      <w:pPr>
        <w:pStyle w:val="5"/>
        <w:keepNext w:val="0"/>
        <w:keepLines w:val="0"/>
        <w:pageBreakBefore w:val="0"/>
        <w:widowControl w:val="0"/>
        <w:kinsoku/>
        <w:wordWrap/>
        <w:overflowPunct/>
        <w:topLinePunct w:val="0"/>
        <w:autoSpaceDE w:val="0"/>
        <w:autoSpaceDN w:val="0"/>
        <w:bidi w:val="0"/>
        <w:adjustRightInd/>
        <w:snapToGrid/>
        <w:spacing w:line="360" w:lineRule="auto"/>
        <w:ind w:right="261" w:firstLine="632" w:firstLineChars="200"/>
        <w:textAlignment w:val="auto"/>
        <w:rPr>
          <w:rFonts w:hint="eastAsia" w:ascii="仿宋_GB2312" w:hAnsi="仿宋_GB2312" w:eastAsia="仿宋_GB2312" w:cs="仿宋_GB2312"/>
          <w:color w:val="auto"/>
          <w:spacing w:val="-2"/>
          <w:highlight w:val="none"/>
        </w:rPr>
      </w:pPr>
      <w:r>
        <w:rPr>
          <w:rFonts w:hint="eastAsia" w:ascii="仿宋_GB2312" w:hAnsi="仿宋_GB2312" w:eastAsia="仿宋_GB2312" w:cs="仿宋_GB2312"/>
          <w:color w:val="auto"/>
          <w:spacing w:val="-2"/>
          <w:highlight w:val="none"/>
        </w:rPr>
        <w:t>（三）复试小组应在每位学生的《南昌航空大学推荐免试攻读研究生复试表》（简称《复试表》）中如实填写考察情况和成绩，《复试表》、复试原始记录等材料汇总后报送研究生院。</w:t>
      </w:r>
    </w:p>
    <w:p w14:paraId="431C2EE1">
      <w:pPr>
        <w:pStyle w:val="3"/>
        <w:spacing w:line="360" w:lineRule="auto"/>
        <w:ind w:left="0" w:leftChars="0"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五、本细则由</w:t>
      </w:r>
      <w:r>
        <w:rPr>
          <w:rFonts w:hint="eastAsia" w:ascii="仿宋_GB2312" w:hAnsi="仿宋_GB2312" w:eastAsia="仿宋_GB2312" w:cs="仿宋_GB2312"/>
          <w:color w:val="auto"/>
          <w:highlight w:val="none"/>
          <w:lang w:val="en-US" w:eastAsia="zh-CN"/>
        </w:rPr>
        <w:t>民航与交通学院（飞行学院）</w:t>
      </w:r>
      <w:r>
        <w:rPr>
          <w:rFonts w:hint="eastAsia" w:ascii="仿宋_GB2312" w:hAnsi="仿宋_GB2312" w:eastAsia="仿宋_GB2312" w:cs="仿宋_GB2312"/>
          <w:color w:val="auto"/>
          <w:highlight w:val="none"/>
        </w:rPr>
        <w:t>负责解释，自公布之日起实施。如当年上级政策发生调整变化，以上级文件为准。</w:t>
      </w:r>
    </w:p>
    <w:p w14:paraId="577F6479">
      <w:pPr>
        <w:pStyle w:val="5"/>
        <w:rPr>
          <w:rFonts w:ascii="黑体"/>
          <w:b/>
          <w:color w:val="auto"/>
          <w:sz w:val="20"/>
          <w:highlight w:val="none"/>
        </w:rPr>
      </w:pPr>
    </w:p>
    <w:p w14:paraId="010D7EA4">
      <w:pPr>
        <w:pStyle w:val="5"/>
        <w:rPr>
          <w:rFonts w:ascii="黑体"/>
          <w:b/>
          <w:color w:val="auto"/>
          <w:sz w:val="20"/>
          <w:highlight w:val="none"/>
        </w:rPr>
      </w:pPr>
    </w:p>
    <w:p w14:paraId="49BB0267">
      <w:pPr>
        <w:pStyle w:val="5"/>
        <w:rPr>
          <w:rFonts w:ascii="黑体"/>
          <w:b/>
          <w:color w:val="auto"/>
          <w:sz w:val="20"/>
          <w:highlight w:val="none"/>
        </w:rPr>
      </w:pPr>
    </w:p>
    <w:p w14:paraId="591AD71F">
      <w:pPr>
        <w:pStyle w:val="5"/>
        <w:rPr>
          <w:rFonts w:ascii="黑体"/>
          <w:b/>
          <w:color w:val="auto"/>
          <w:sz w:val="20"/>
          <w:highlight w:val="none"/>
        </w:rPr>
      </w:pPr>
    </w:p>
    <w:p w14:paraId="4EB271C0">
      <w:pPr>
        <w:pStyle w:val="5"/>
        <w:rPr>
          <w:rFonts w:ascii="黑体"/>
          <w:b/>
          <w:color w:val="auto"/>
          <w:sz w:val="20"/>
          <w:highlight w:val="none"/>
        </w:rPr>
      </w:pPr>
    </w:p>
    <w:p w14:paraId="34A1F059">
      <w:pPr>
        <w:pStyle w:val="5"/>
        <w:rPr>
          <w:rFonts w:ascii="黑体"/>
          <w:b/>
          <w:color w:val="auto"/>
          <w:sz w:val="20"/>
          <w:highlight w:val="none"/>
        </w:rPr>
      </w:pPr>
    </w:p>
    <w:p w14:paraId="36F020BB">
      <w:pPr>
        <w:pStyle w:val="5"/>
        <w:rPr>
          <w:rFonts w:ascii="黑体"/>
          <w:b/>
          <w:color w:val="auto"/>
          <w:sz w:val="20"/>
          <w:highlight w:val="none"/>
        </w:rPr>
      </w:pPr>
    </w:p>
    <w:p w14:paraId="5A102E6D">
      <w:pPr>
        <w:pStyle w:val="5"/>
        <w:rPr>
          <w:rFonts w:ascii="黑体"/>
          <w:b/>
          <w:color w:val="auto"/>
          <w:sz w:val="20"/>
          <w:highlight w:val="none"/>
        </w:rPr>
      </w:pPr>
    </w:p>
    <w:p w14:paraId="451E6977">
      <w:pPr>
        <w:pStyle w:val="5"/>
        <w:rPr>
          <w:rFonts w:ascii="黑体"/>
          <w:b/>
          <w:color w:val="auto"/>
          <w:sz w:val="20"/>
          <w:highlight w:val="none"/>
        </w:rPr>
      </w:pPr>
    </w:p>
    <w:p w14:paraId="514BA1A0">
      <w:pPr>
        <w:pStyle w:val="5"/>
        <w:rPr>
          <w:rFonts w:ascii="黑体"/>
          <w:b/>
          <w:color w:val="auto"/>
          <w:sz w:val="20"/>
          <w:highlight w:val="none"/>
        </w:rPr>
      </w:pPr>
    </w:p>
    <w:p w14:paraId="15BDEEF1">
      <w:pPr>
        <w:pStyle w:val="5"/>
        <w:rPr>
          <w:rFonts w:ascii="黑体"/>
          <w:b/>
          <w:color w:val="auto"/>
          <w:sz w:val="20"/>
          <w:highlight w:val="none"/>
        </w:rPr>
      </w:pPr>
    </w:p>
    <w:p w14:paraId="0F99C8D3">
      <w:pPr>
        <w:pStyle w:val="5"/>
        <w:rPr>
          <w:rFonts w:ascii="黑体"/>
          <w:b/>
          <w:color w:val="auto"/>
          <w:sz w:val="20"/>
          <w:highlight w:val="none"/>
        </w:rPr>
      </w:pPr>
    </w:p>
    <w:p w14:paraId="07BA4151">
      <w:pPr>
        <w:pStyle w:val="5"/>
        <w:rPr>
          <w:rFonts w:ascii="黑体"/>
          <w:b/>
          <w:color w:val="auto"/>
          <w:sz w:val="20"/>
          <w:highlight w:val="none"/>
        </w:rPr>
      </w:pPr>
    </w:p>
    <w:p w14:paraId="158DD245">
      <w:pPr>
        <w:pStyle w:val="5"/>
        <w:rPr>
          <w:rFonts w:ascii="黑体"/>
          <w:b/>
          <w:color w:val="auto"/>
          <w:sz w:val="20"/>
          <w:highlight w:val="none"/>
        </w:rPr>
      </w:pPr>
    </w:p>
    <w:p w14:paraId="0E68458C">
      <w:pPr>
        <w:pStyle w:val="5"/>
        <w:rPr>
          <w:rFonts w:ascii="黑体"/>
          <w:b/>
          <w:color w:val="auto"/>
          <w:sz w:val="20"/>
          <w:highlight w:val="none"/>
        </w:rPr>
      </w:pPr>
    </w:p>
    <w:p w14:paraId="41CBCCA9">
      <w:pPr>
        <w:pStyle w:val="5"/>
        <w:rPr>
          <w:rFonts w:ascii="黑体"/>
          <w:b/>
          <w:color w:val="auto"/>
          <w:sz w:val="20"/>
          <w:highlight w:val="none"/>
        </w:rPr>
      </w:pPr>
    </w:p>
    <w:p w14:paraId="5FD13541">
      <w:pPr>
        <w:pStyle w:val="5"/>
        <w:rPr>
          <w:rFonts w:ascii="黑体"/>
          <w:b/>
          <w:color w:val="auto"/>
          <w:sz w:val="20"/>
          <w:highlight w:val="none"/>
        </w:rPr>
      </w:pPr>
    </w:p>
    <w:p w14:paraId="334ED250">
      <w:pPr>
        <w:pStyle w:val="5"/>
        <w:rPr>
          <w:rFonts w:ascii="黑体"/>
          <w:b/>
          <w:color w:val="auto"/>
          <w:sz w:val="20"/>
          <w:highlight w:val="none"/>
        </w:rPr>
      </w:pPr>
    </w:p>
    <w:sectPr>
      <w:footerReference r:id="rId3" w:type="default"/>
      <w:pgSz w:w="11910" w:h="16840"/>
      <w:pgMar w:top="1600" w:right="1300" w:bottom="1180" w:left="1300" w:header="0" w:footer="998"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3B5BB0-FBB8-4BAC-B0F7-01A54B990D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2" w:fontKey="{CE79510F-963A-41D6-8B91-55AFE7B5E4BB}"/>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18F26F66-DC23-454E-8967-F4692172F55A}"/>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31B">
    <w:pPr>
      <w:pStyle w:val="5"/>
      <w:spacing w:line="14" w:lineRule="auto"/>
      <w:rPr>
        <w:sz w:val="20"/>
      </w:rPr>
    </w:pPr>
    <w:r>
      <w:rPr>
        <w:sz w:val="20"/>
      </w:rP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1A7E93">
                <w:pPr>
                  <w:pStyle w:val="8"/>
                </w:pPr>
                <w:r>
                  <w:fldChar w:fldCharType="begin"/>
                </w:r>
                <w:r>
                  <w:instrText xml:space="preserve"> PAGE  \* MERGEFORMAT </w:instrText>
                </w:r>
                <w:r>
                  <w:fldChar w:fldCharType="separate"/>
                </w:r>
                <w:r>
                  <w:t>15</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UyZDE4NTgwYjZiNDA1YThkODA0OGE1Mjc5OTg3ODMifQ=="/>
  </w:docVars>
  <w:rsids>
    <w:rsidRoot w:val="00C7485D"/>
    <w:rsid w:val="003F4FF2"/>
    <w:rsid w:val="006D233D"/>
    <w:rsid w:val="00C7485D"/>
    <w:rsid w:val="015C3EDF"/>
    <w:rsid w:val="028D3650"/>
    <w:rsid w:val="07CC0BA8"/>
    <w:rsid w:val="0FC12A8F"/>
    <w:rsid w:val="103709CC"/>
    <w:rsid w:val="11910454"/>
    <w:rsid w:val="12546ECC"/>
    <w:rsid w:val="14052799"/>
    <w:rsid w:val="14C0618F"/>
    <w:rsid w:val="16734C50"/>
    <w:rsid w:val="16F04A64"/>
    <w:rsid w:val="18CB0BDF"/>
    <w:rsid w:val="1AB73005"/>
    <w:rsid w:val="1CC47F67"/>
    <w:rsid w:val="1EEE5B19"/>
    <w:rsid w:val="212B5A7B"/>
    <w:rsid w:val="230961F8"/>
    <w:rsid w:val="24C022C0"/>
    <w:rsid w:val="254F2D21"/>
    <w:rsid w:val="25F52A64"/>
    <w:rsid w:val="267A0468"/>
    <w:rsid w:val="27156CCD"/>
    <w:rsid w:val="294C017B"/>
    <w:rsid w:val="2A0C69C2"/>
    <w:rsid w:val="2CA822FA"/>
    <w:rsid w:val="2DB65768"/>
    <w:rsid w:val="3163566D"/>
    <w:rsid w:val="317545AB"/>
    <w:rsid w:val="33323549"/>
    <w:rsid w:val="35FB4FBE"/>
    <w:rsid w:val="37F52460"/>
    <w:rsid w:val="3826627C"/>
    <w:rsid w:val="393C21C7"/>
    <w:rsid w:val="39DD25C0"/>
    <w:rsid w:val="3A723C63"/>
    <w:rsid w:val="3B1963E5"/>
    <w:rsid w:val="3B5B1163"/>
    <w:rsid w:val="3BA64E84"/>
    <w:rsid w:val="3D127DBE"/>
    <w:rsid w:val="3F331425"/>
    <w:rsid w:val="407919F5"/>
    <w:rsid w:val="43C81928"/>
    <w:rsid w:val="46475006"/>
    <w:rsid w:val="487B6002"/>
    <w:rsid w:val="48AB750E"/>
    <w:rsid w:val="49551C16"/>
    <w:rsid w:val="4B664014"/>
    <w:rsid w:val="4D562C80"/>
    <w:rsid w:val="4DE441A3"/>
    <w:rsid w:val="50102C8F"/>
    <w:rsid w:val="52424B66"/>
    <w:rsid w:val="54F63F7F"/>
    <w:rsid w:val="551323C2"/>
    <w:rsid w:val="552C79A0"/>
    <w:rsid w:val="555F03EB"/>
    <w:rsid w:val="55B26E08"/>
    <w:rsid w:val="57307B68"/>
    <w:rsid w:val="5A2570B4"/>
    <w:rsid w:val="5EAB4EFB"/>
    <w:rsid w:val="5FEF7F48"/>
    <w:rsid w:val="6062696C"/>
    <w:rsid w:val="621D1523"/>
    <w:rsid w:val="62302415"/>
    <w:rsid w:val="62973071"/>
    <w:rsid w:val="65115CEC"/>
    <w:rsid w:val="65A66782"/>
    <w:rsid w:val="65C47781"/>
    <w:rsid w:val="6AF73C36"/>
    <w:rsid w:val="72C25446"/>
    <w:rsid w:val="75157C52"/>
    <w:rsid w:val="758772F1"/>
    <w:rsid w:val="76FE439A"/>
    <w:rsid w:val="778B637C"/>
    <w:rsid w:val="7AB277E1"/>
    <w:rsid w:val="7AF11F0E"/>
    <w:rsid w:val="7C860807"/>
    <w:rsid w:val="7CB579CC"/>
    <w:rsid w:val="7DEE3256"/>
    <w:rsid w:val="7EBF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autoRedefine/>
    <w:qFormat/>
    <w:uiPriority w:val="1"/>
    <w:pPr>
      <w:ind w:left="377"/>
      <w:outlineLvl w:val="0"/>
    </w:pPr>
    <w:rPr>
      <w:b/>
      <w:bCs/>
      <w:sz w:val="32"/>
      <w:szCs w:val="32"/>
    </w:rPr>
  </w:style>
  <w:style w:type="paragraph" w:styleId="3">
    <w:name w:val="heading 2"/>
    <w:basedOn w:val="1"/>
    <w:next w:val="1"/>
    <w:qFormat/>
    <w:uiPriority w:val="1"/>
    <w:pPr>
      <w:ind w:left="1143"/>
      <w:outlineLvl w:val="1"/>
    </w:pPr>
    <w:rPr>
      <w:rFonts w:ascii="黑体" w:hAnsi="黑体" w:eastAsia="黑体" w:cs="黑体"/>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19"/>
    <w:autoRedefine/>
    <w:qFormat/>
    <w:uiPriority w:val="0"/>
  </w:style>
  <w:style w:type="paragraph" w:styleId="5">
    <w:name w:val="Body Text"/>
    <w:basedOn w:val="1"/>
    <w:autoRedefine/>
    <w:qFormat/>
    <w:uiPriority w:val="1"/>
    <w:rPr>
      <w:sz w:val="32"/>
      <w:szCs w:val="32"/>
    </w:rPr>
  </w:style>
  <w:style w:type="paragraph" w:styleId="6">
    <w:name w:val="Body Text Indent"/>
    <w:basedOn w:val="1"/>
    <w:autoRedefine/>
    <w:qFormat/>
    <w:uiPriority w:val="0"/>
    <w:pPr>
      <w:spacing w:after="120"/>
      <w:ind w:left="420" w:leftChars="200"/>
    </w:pPr>
    <w:rPr>
      <w:rFonts w:ascii="Times New Roman" w:hAnsi="Times New Roman" w:eastAsia="宋体" w:cs="Times New Roman"/>
    </w:rPr>
  </w:style>
  <w:style w:type="paragraph" w:styleId="7">
    <w:name w:val="Balloon Text"/>
    <w:basedOn w:val="1"/>
    <w:link w:val="21"/>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rFonts w:ascii="Times New Roman" w:hAnsi="Times New Roman" w:eastAsia="宋体" w:cs="Times New Roman"/>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pPr>
      <w:widowControl/>
      <w:spacing w:before="72" w:after="72" w:line="336" w:lineRule="auto"/>
    </w:pPr>
    <w:rPr>
      <w:rFonts w:ascii="宋体" w:hAnsi="宋体"/>
      <w:sz w:val="24"/>
      <w:szCs w:val="20"/>
    </w:rPr>
  </w:style>
  <w:style w:type="paragraph" w:styleId="11">
    <w:name w:val="annotation subject"/>
    <w:basedOn w:val="4"/>
    <w:next w:val="4"/>
    <w:link w:val="20"/>
    <w:autoRedefine/>
    <w:qFormat/>
    <w:uiPriority w:val="0"/>
    <w:rPr>
      <w:b/>
      <w:bCs/>
    </w:rPr>
  </w:style>
  <w:style w:type="table" w:styleId="13">
    <w:name w:val="Table Grid"/>
    <w:basedOn w:val="12"/>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autoRedefine/>
    <w:qFormat/>
    <w:uiPriority w:val="0"/>
    <w:rPr>
      <w:sz w:val="21"/>
      <w:szCs w:val="21"/>
    </w:rPr>
  </w:style>
  <w:style w:type="table" w:customStyle="1" w:styleId="16">
    <w:name w:val="Table Normal"/>
    <w:autoRedefine/>
    <w:semiHidden/>
    <w:unhideWhenUsed/>
    <w:qFormat/>
    <w:uiPriority w:val="2"/>
    <w:tblPr>
      <w:tblCellMar>
        <w:top w:w="0" w:type="dxa"/>
        <w:left w:w="0" w:type="dxa"/>
        <w:bottom w:w="0" w:type="dxa"/>
        <w:right w:w="0" w:type="dxa"/>
      </w:tblCellMar>
    </w:tblPr>
  </w:style>
  <w:style w:type="paragraph" w:styleId="17">
    <w:name w:val="List Paragraph"/>
    <w:basedOn w:val="1"/>
    <w:autoRedefine/>
    <w:qFormat/>
    <w:uiPriority w:val="1"/>
  </w:style>
  <w:style w:type="paragraph" w:customStyle="1" w:styleId="18">
    <w:name w:val="Table Paragraph"/>
    <w:basedOn w:val="1"/>
    <w:autoRedefine/>
    <w:qFormat/>
    <w:uiPriority w:val="1"/>
    <w:rPr>
      <w:rFonts w:ascii="宋体" w:hAnsi="宋体" w:eastAsia="宋体" w:cs="宋体"/>
    </w:rPr>
  </w:style>
  <w:style w:type="character" w:customStyle="1" w:styleId="19">
    <w:name w:val="批注文字 字符"/>
    <w:basedOn w:val="14"/>
    <w:link w:val="4"/>
    <w:autoRedefine/>
    <w:qFormat/>
    <w:uiPriority w:val="0"/>
    <w:rPr>
      <w:rFonts w:ascii="仿宋" w:hAnsi="仿宋" w:eastAsia="仿宋" w:cs="仿宋"/>
      <w:sz w:val="22"/>
      <w:szCs w:val="22"/>
      <w:lang w:val="zh-CN" w:bidi="zh-CN"/>
    </w:rPr>
  </w:style>
  <w:style w:type="character" w:customStyle="1" w:styleId="20">
    <w:name w:val="批注主题 字符"/>
    <w:basedOn w:val="19"/>
    <w:link w:val="11"/>
    <w:autoRedefine/>
    <w:qFormat/>
    <w:uiPriority w:val="0"/>
    <w:rPr>
      <w:rFonts w:ascii="仿宋" w:hAnsi="仿宋" w:eastAsia="仿宋" w:cs="仿宋"/>
      <w:b/>
      <w:bCs/>
      <w:sz w:val="22"/>
      <w:szCs w:val="22"/>
      <w:lang w:val="zh-CN" w:bidi="zh-CN"/>
    </w:rPr>
  </w:style>
  <w:style w:type="character" w:customStyle="1" w:styleId="21">
    <w:name w:val="批注框文本 字符"/>
    <w:basedOn w:val="14"/>
    <w:link w:val="7"/>
    <w:autoRedefine/>
    <w:qFormat/>
    <w:uiPriority w:val="0"/>
    <w:rPr>
      <w:rFonts w:ascii="仿宋" w:hAnsi="仿宋" w:eastAsia="仿宋" w:cs="仿宋"/>
      <w:sz w:val="18"/>
      <w:szCs w:val="18"/>
      <w:lang w:val="zh-CN" w:bidi="zh-CN"/>
    </w:rPr>
  </w:style>
  <w:style w:type="paragraph" w:customStyle="1" w:styleId="22">
    <w:name w:val="Table Text"/>
    <w:basedOn w:val="1"/>
    <w:autoRedefine/>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696</Words>
  <Characters>705</Characters>
  <Lines>70</Lines>
  <Paragraphs>19</Paragraphs>
  <TotalTime>27</TotalTime>
  <ScaleCrop>false</ScaleCrop>
  <LinksUpToDate>false</LinksUpToDate>
  <CharactersWithSpaces>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2022-09-07T08:36:00Z</dcterms:created>
  <dc:creator>yk</dc:creator>
  <cp:lastModifiedBy>y</cp:lastModifiedBy>
  <cp:lastPrinted>2026-09-02T09:03:00Z</cp:lastPrinted>
  <dcterms:modified xsi:type="dcterms:W3CDTF">2026-09-04T07:37:37Z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PScript5.dll Version 5.2.2</vt:lpwstr>
  </property>
  <property fmtid="{D5CDD505-2E9C-101B-9397-08002B2CF9AE}" pid="4" name="LastSaved">
    <vt:filetime>2022-09-07T00:00:00Z</vt:filetime>
  </property>
  <property fmtid="{D5CDD505-2E9C-101B-9397-08002B2CF9AE}" pid="5" name="KSOProductBuildVer">
    <vt:lpwstr>2052-12.1.0.26895</vt:lpwstr>
  </property>
  <property fmtid="{D5CDD505-2E9C-101B-9397-08002B2CF9AE}" pid="6" name="ICV">
    <vt:lpwstr>91B5C7976A2B4F7189017541AE42F155</vt:lpwstr>
  </property>
  <property fmtid="{D5CDD505-2E9C-101B-9397-08002B2CF9AE}" pid="7" name="KSOTemplateDocerSaveRecord">
    <vt:lpwstr>eyJoZGlkIjoiMDdhZjI1YTE4N2FmZGYxY2E2MDJiOWVkMGI1ZTQyY2IiLCJ1c2VySWQiOiIyNzg5NjEyMjgifQ==</vt:lpwstr>
  </property>
</Properties>
</file>